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Quarterly Referrals Report — AFTER</w:t>
      </w:r>
    </w:p>
    <w:p>
      <w:r>
        <w:rPr>
          <w:i/>
        </w:rPr>
        <w:t>Same numbers. One header row, no merged cells — so the structure survives the export to PDF.</w:t>
      </w:r>
    </w:p>
    <w:p>
      <w:pPr>
        <w:pStyle w:val="Heading2"/>
      </w:pPr>
      <w:r>
        <w:t>Referrals by program and quarter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rPr>
          <w:tblHeader w:val="true"/>
        </w:trPr>
        <w:tc>
          <w:tcPr>
            <w:tcW w:type="dxa" w:w="1728"/>
          </w:tcPr>
          <w:p>
            <w:r>
              <w:rPr>
                <w:b/>
              </w:rPr>
              <w:t>Program</w:t>
            </w:r>
          </w:p>
        </w:tc>
        <w:tc>
          <w:tcPr>
            <w:tcW w:type="dxa" w:w="1728"/>
          </w:tcPr>
          <w:p>
            <w:r>
              <w:rPr>
                <w:b/>
              </w:rPr>
              <w:t>Q1 referrals</w:t>
            </w:r>
          </w:p>
        </w:tc>
        <w:tc>
          <w:tcPr>
            <w:tcW w:type="dxa" w:w="1728"/>
          </w:tcPr>
          <w:p>
            <w:r>
              <w:rPr>
                <w:b/>
              </w:rPr>
              <w:t>Q1 completed</w:t>
            </w:r>
          </w:p>
        </w:tc>
        <w:tc>
          <w:tcPr>
            <w:tcW w:type="dxa" w:w="1728"/>
          </w:tcPr>
          <w:p>
            <w:r>
              <w:rPr>
                <w:b/>
              </w:rPr>
              <w:t>Q2 referrals</w:t>
            </w:r>
          </w:p>
        </w:tc>
        <w:tc>
          <w:tcPr>
            <w:tcW w:type="dxa" w:w="1728"/>
          </w:tcPr>
          <w:p>
            <w:r>
              <w:rPr>
                <w:b/>
              </w:rPr>
              <w:t>Q2 completed</w:t>
            </w:r>
          </w:p>
        </w:tc>
      </w:tr>
      <w:tr>
        <w:tc>
          <w:tcPr>
            <w:tcW w:type="dxa" w:w="1728"/>
          </w:tcPr>
          <w:p>
            <w:r>
              <w:t>Prevention</w:t>
            </w:r>
          </w:p>
        </w:tc>
        <w:tc>
          <w:tcPr>
            <w:tcW w:type="dxa" w:w="1728"/>
          </w:tcPr>
          <w:p>
            <w:r>
              <w:t>412</w:t>
            </w:r>
          </w:p>
        </w:tc>
        <w:tc>
          <w:tcPr>
            <w:tcW w:type="dxa" w:w="1728"/>
          </w:tcPr>
          <w:p>
            <w:r>
              <w:t>388</w:t>
            </w:r>
          </w:p>
        </w:tc>
        <w:tc>
          <w:tcPr>
            <w:tcW w:type="dxa" w:w="1728"/>
          </w:tcPr>
          <w:p>
            <w:r>
              <w:t>455</w:t>
            </w:r>
          </w:p>
        </w:tc>
        <w:tc>
          <w:tcPr>
            <w:tcW w:type="dxa" w:w="1728"/>
          </w:tcPr>
          <w:p>
            <w:r>
              <w:t>401</w:t>
            </w:r>
          </w:p>
        </w:tc>
      </w:tr>
      <w:tr>
        <w:tc>
          <w:tcPr>
            <w:tcW w:type="dxa" w:w="1728"/>
          </w:tcPr>
          <w:p>
            <w:r>
              <w:t>Recovery support</w:t>
            </w:r>
          </w:p>
        </w:tc>
        <w:tc>
          <w:tcPr>
            <w:tcW w:type="dxa" w:w="1728"/>
          </w:tcPr>
          <w:p>
            <w:r>
              <w:t>203</w:t>
            </w:r>
          </w:p>
        </w:tc>
        <w:tc>
          <w:tcPr>
            <w:tcW w:type="dxa" w:w="1728"/>
          </w:tcPr>
          <w:p>
            <w:r>
              <w:t>191</w:t>
            </w:r>
          </w:p>
        </w:tc>
        <w:tc>
          <w:tcPr>
            <w:tcW w:type="dxa" w:w="1728"/>
          </w:tcPr>
          <w:p>
            <w:r>
              <w:t>228</w:t>
            </w:r>
          </w:p>
        </w:tc>
        <w:tc>
          <w:tcPr>
            <w:tcW w:type="dxa" w:w="1728"/>
          </w:tcPr>
          <w:p>
            <w:r>
              <w:t>210</w:t>
            </w:r>
          </w:p>
        </w:tc>
      </w:tr>
      <w:tr>
        <w:tc>
          <w:tcPr>
            <w:tcW w:type="dxa" w:w="1728"/>
          </w:tcPr>
          <w:p>
            <w:r>
              <w:t>Youth outreach</w:t>
            </w:r>
          </w:p>
        </w:tc>
        <w:tc>
          <w:tcPr>
            <w:tcW w:type="dxa" w:w="1728"/>
          </w:tcPr>
          <w:p>
            <w:r>
              <w:t>156</w:t>
            </w:r>
          </w:p>
        </w:tc>
        <w:tc>
          <w:tcPr>
            <w:tcW w:type="dxa" w:w="1728"/>
          </w:tcPr>
          <w:p>
            <w:r>
              <w:t>140</w:t>
            </w:r>
          </w:p>
        </w:tc>
        <w:tc>
          <w:tcPr>
            <w:tcW w:type="dxa" w:w="1728"/>
          </w:tcPr>
          <w:p>
            <w:r>
              <w:t>173</w:t>
            </w:r>
          </w:p>
        </w:tc>
        <w:tc>
          <w:tcPr>
            <w:tcW w:type="dxa" w:w="1728"/>
          </w:tcPr>
          <w:p>
            <w:r>
              <w:t>158</w:t>
            </w:r>
          </w:p>
        </w:tc>
      </w:tr>
    </w:tbl>
    <w:p>
      <w:pPr>
        <w:jc w:val="left"/>
      </w:pPr>
      <w:r>
        <w:rPr>
          <w:i/>
          <w:sz w:val="18"/>
        </w:rPr>
        <w:t>Table 1. Referrals by program and quarter, FY24–25.</w:t>
      </w:r>
    </w:p>
    <w:p/>
    <w:p>
      <w:r>
        <w:rPr>
          <w:sz w:val="18"/>
        </w:rPr>
        <w:t>What changed: the merged “Q1”/“Q2” row is gone — the quarter moved into the header text instead. One header row, marked to repeat across page breaks (Table Properties → Row → Repeat as header row). Now every number is announced with the header that owns it: “Prevention, Q1 completed, 388.”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